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株洲经开区形象标识和宣传用语</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征集活动报名表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tbl>
      <w:tblPr>
        <w:tblStyle w:val="8"/>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797"/>
        <w:gridCol w:w="2053"/>
        <w:gridCol w:w="1322"/>
        <w:gridCol w:w="150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0" w:hRule="atLeast"/>
          <w:jc w:val="center"/>
        </w:trPr>
        <w:tc>
          <w:tcPr>
            <w:tcW w:w="279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应征作者姓名</w:t>
            </w:r>
          </w:p>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（应征机构名称）</w:t>
            </w:r>
          </w:p>
        </w:tc>
        <w:tc>
          <w:tcPr>
            <w:tcW w:w="2053" w:type="dxa"/>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c>
          <w:tcPr>
            <w:tcW w:w="2826" w:type="dxa"/>
            <w:gridSpan w:val="2"/>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应征作品编号</w:t>
            </w:r>
          </w:p>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（此栏由主办方填写）</w:t>
            </w:r>
          </w:p>
        </w:tc>
        <w:tc>
          <w:tcPr>
            <w:tcW w:w="1544" w:type="dxa"/>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769" w:hRule="atLeast"/>
          <w:jc w:val="center"/>
        </w:trPr>
        <w:tc>
          <w:tcPr>
            <w:tcW w:w="279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证件类型</w:t>
            </w:r>
          </w:p>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（请选择并填写）</w:t>
            </w:r>
          </w:p>
        </w:tc>
        <w:tc>
          <w:tcPr>
            <w:tcW w:w="6423" w:type="dxa"/>
            <w:gridSpan w:val="4"/>
            <w:shd w:val="clear" w:color="auto" w:fill="auto"/>
            <w:vAlign w:val="center"/>
          </w:tcPr>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sym w:font="Wingdings 2" w:char="00A3"/>
            </w: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t>统一社会信用代码（机构）___________________</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sym w:font="Wingdings 2" w:char="00A3"/>
            </w: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t xml:space="preserve">身份证______________ </w:t>
            </w: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sym w:font="Wingdings 2" w:char="00A3"/>
            </w: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t>护  照______________</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Style w:val="13"/>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pP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sym w:font="Wingdings 2" w:char="00A3"/>
            </w: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t xml:space="preserve">军官证______________ </w:t>
            </w: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sym w:font="Wingdings 2" w:char="00A3"/>
            </w:r>
            <w:r>
              <w:rPr>
                <w:rFonts w:hint="eastAsia" w:ascii="Times New Roman" w:hAnsi="Times New Roman" w:eastAsia="仿宋_GB2312" w:cs="仿宋_GB2312"/>
                <w:b w:val="0"/>
                <w:bCs/>
                <w:color w:val="000000" w:themeColor="text1"/>
                <w:sz w:val="28"/>
                <w:szCs w:val="28"/>
                <w:vertAlign w:val="baseline"/>
                <w:lang w:val="en-US" w:eastAsia="zh-CN"/>
                <w14:textFill>
                  <w14:solidFill>
                    <w14:schemeClr w14:val="tx1"/>
                  </w14:solidFill>
                </w14:textFill>
              </w:rPr>
              <w:t>其  他______________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291" w:hRule="atLeast"/>
          <w:jc w:val="center"/>
        </w:trPr>
        <w:tc>
          <w:tcPr>
            <w:tcW w:w="279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通讯地址</w:t>
            </w:r>
          </w:p>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（居住地或单位住所）</w:t>
            </w:r>
          </w:p>
        </w:tc>
        <w:tc>
          <w:tcPr>
            <w:tcW w:w="6423" w:type="dxa"/>
            <w:gridSpan w:val="4"/>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279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联系电话</w:t>
            </w:r>
          </w:p>
        </w:tc>
        <w:tc>
          <w:tcPr>
            <w:tcW w:w="2053" w:type="dxa"/>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c>
          <w:tcPr>
            <w:tcW w:w="132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电子邮箱</w:t>
            </w:r>
          </w:p>
        </w:tc>
        <w:tc>
          <w:tcPr>
            <w:tcW w:w="3048" w:type="dxa"/>
            <w:gridSpan w:val="2"/>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0" w:hRule="atLeast"/>
          <w:jc w:val="center"/>
        </w:trPr>
        <w:tc>
          <w:tcPr>
            <w:tcW w:w="279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微信号码</w:t>
            </w:r>
          </w:p>
        </w:tc>
        <w:tc>
          <w:tcPr>
            <w:tcW w:w="2053" w:type="dxa"/>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c>
          <w:tcPr>
            <w:tcW w:w="132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QQ号码</w:t>
            </w:r>
          </w:p>
        </w:tc>
        <w:tc>
          <w:tcPr>
            <w:tcW w:w="3048" w:type="dxa"/>
            <w:gridSpan w:val="2"/>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72" w:hRule="atLeast"/>
          <w:jc w:val="center"/>
        </w:trPr>
        <w:tc>
          <w:tcPr>
            <w:tcW w:w="279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如创作者来自著名设计团队（公司），或参与设计过国内其他著名形象标识，请对个人和集体典型事迹、代表作品作出简要介绍</w:t>
            </w:r>
          </w:p>
        </w:tc>
        <w:tc>
          <w:tcPr>
            <w:tcW w:w="6423" w:type="dxa"/>
            <w:gridSpan w:val="4"/>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83" w:hRule="atLeast"/>
          <w:jc w:val="center"/>
        </w:trPr>
        <w:tc>
          <w:tcPr>
            <w:tcW w:w="279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创作者设计理念简要说明（</w:t>
            </w:r>
            <w:r>
              <w:rPr>
                <w:rStyle w:val="12"/>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500</w:t>
            </w:r>
            <w:r>
              <w:rPr>
                <w:rStyle w:val="11"/>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字以内）</w:t>
            </w:r>
          </w:p>
        </w:tc>
        <w:tc>
          <w:tcPr>
            <w:tcW w:w="6423" w:type="dxa"/>
            <w:gridSpan w:val="4"/>
            <w:shd w:val="clear" w:color="auto" w:fill="auto"/>
            <w:vAlign w:val="center"/>
          </w:tcPr>
          <w:p>
            <w:pPr>
              <w:jc w:val="center"/>
              <w:rPr>
                <w:rFonts w:hint="eastAsia" w:ascii="Times New Roman" w:hAnsi="Times New Roman" w:eastAsia="仿宋_GB2312" w:cs="仿宋_GB2312"/>
                <w:i w:val="0"/>
                <w:color w:val="000000" w:themeColor="text1"/>
                <w:sz w:val="28"/>
                <w:szCs w:val="28"/>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8" w:hRule="atLeast"/>
          <w:jc w:val="center"/>
        </w:trPr>
        <w:tc>
          <w:tcPr>
            <w:tcW w:w="9220" w:type="dxa"/>
            <w:gridSpan w:val="5"/>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p>
          <w:p>
            <w:pPr>
              <w:keepNext w:val="0"/>
              <w:keepLines w:val="0"/>
              <w:widowControl/>
              <w:suppressLineNumbers w:val="0"/>
              <w:ind w:firstLine="287" w:firstLineChars="100"/>
              <w:jc w:val="both"/>
              <w:textAlignment w:val="top"/>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海选期参赛作品提交内容包括：</w:t>
            </w:r>
          </w:p>
          <w:p>
            <w:pPr>
              <w:keepNext w:val="0"/>
              <w:keepLines w:val="0"/>
              <w:widowControl/>
              <w:suppressLineNumbers w:val="0"/>
              <w:ind w:firstLine="287" w:firstLineChars="100"/>
              <w:jc w:val="both"/>
              <w:textAlignment w:val="top"/>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 xml:space="preserve">1. </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logo设计方案彩色稿</w:t>
            </w:r>
            <w:r>
              <w:rPr>
                <w:rStyle w:val="16"/>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1</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份；</w:t>
            </w:r>
          </w:p>
          <w:p>
            <w:pPr>
              <w:keepNext w:val="0"/>
              <w:keepLines w:val="0"/>
              <w:widowControl/>
              <w:suppressLineNumbers w:val="0"/>
              <w:ind w:firstLine="287" w:firstLineChars="10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 xml:space="preserve">2. </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logo设计方案黑白稿</w:t>
            </w:r>
            <w:r>
              <w:rPr>
                <w:rStyle w:val="16"/>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1</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份；</w:t>
            </w:r>
          </w:p>
          <w:p>
            <w:pPr>
              <w:keepNext w:val="0"/>
              <w:keepLines w:val="0"/>
              <w:widowControl/>
              <w:suppressLineNumbers w:val="0"/>
              <w:ind w:firstLine="287" w:firstLineChars="10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 xml:space="preserve">3. </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logo创意说明</w:t>
            </w:r>
            <w:r>
              <w:rPr>
                <w:rStyle w:val="16"/>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1</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份；</w:t>
            </w:r>
          </w:p>
          <w:p>
            <w:pPr>
              <w:keepNext w:val="0"/>
              <w:keepLines w:val="0"/>
              <w:widowControl/>
              <w:suppressLineNumbers w:val="0"/>
              <w:ind w:firstLine="287" w:firstLineChars="10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4.</w:t>
            </w:r>
            <w:r>
              <w:rPr>
                <w:rFonts w:hint="eastAsia" w:ascii="Times New Roman" w:hAnsi="Times New Roman" w:cs="仿宋_GB2312"/>
                <w:i w:val="0"/>
                <w:color w:val="000000" w:themeColor="text1"/>
                <w:kern w:val="0"/>
                <w:sz w:val="28"/>
                <w:szCs w:val="28"/>
                <w:u w:val="none"/>
                <w:lang w:val="en-US" w:eastAsia="zh-CN" w:bidi="ar"/>
                <w14:textFill>
                  <w14:solidFill>
                    <w14:schemeClr w14:val="tx1"/>
                  </w14:solidFill>
                </w14:textFill>
              </w:rPr>
              <w:t xml:space="preserve"> </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此份报名表</w:t>
            </w:r>
            <w:r>
              <w:rPr>
                <w:rStyle w:val="16"/>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1</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份；</w:t>
            </w:r>
          </w:p>
          <w:p>
            <w:pPr>
              <w:keepNext w:val="0"/>
              <w:keepLines w:val="0"/>
              <w:widowControl/>
              <w:suppressLineNumbers w:val="0"/>
              <w:ind w:firstLine="287" w:firstLineChars="100"/>
              <w:jc w:val="both"/>
              <w:textAlignment w:val="top"/>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5.</w:t>
            </w:r>
            <w:r>
              <w:rPr>
                <w:rFonts w:hint="eastAsia" w:ascii="Times New Roman" w:hAnsi="Times New Roman" w:cs="仿宋_GB2312"/>
                <w:i w:val="0"/>
                <w:color w:val="000000" w:themeColor="text1"/>
                <w:kern w:val="0"/>
                <w:sz w:val="28"/>
                <w:szCs w:val="28"/>
                <w:u w:val="none"/>
                <w:lang w:val="en-US" w:eastAsia="zh-CN" w:bidi="ar"/>
                <w14:textFill>
                  <w14:solidFill>
                    <w14:schemeClr w14:val="tx1"/>
                  </w14:solidFill>
                </w14:textFill>
              </w:rPr>
              <w:t xml:space="preserve"> </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承诺书</w:t>
            </w:r>
            <w:r>
              <w:rPr>
                <w:rStyle w:val="16"/>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1</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份。</w:t>
            </w:r>
          </w:p>
          <w:p>
            <w:pPr>
              <w:keepNext w:val="0"/>
              <w:keepLines w:val="0"/>
              <w:widowControl/>
              <w:suppressLineNumbers w:val="0"/>
              <w:jc w:val="both"/>
              <w:textAlignment w:val="top"/>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pPr>
          </w:p>
          <w:p>
            <w:pPr>
              <w:keepNext w:val="0"/>
              <w:keepLines w:val="0"/>
              <w:widowControl/>
              <w:suppressLineNumbers w:val="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决赛期参赛作品新增提交内容包括：</w:t>
            </w:r>
          </w:p>
          <w:p>
            <w:pPr>
              <w:keepNext w:val="0"/>
              <w:keepLines w:val="0"/>
              <w:widowControl/>
              <w:suppressLineNumbers w:val="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在前十名入选作品投票结果公示期结束前，需以邮件形式增补提供与入选作品一致的</w:t>
            </w:r>
            <w:r>
              <w:rPr>
                <w:rStyle w:val="16"/>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VI</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设计应用效果图，包括但不限于：标准字体、标准色、企业象征图形、专用印刷字体、基本要素组合、办公用品、服装服饰应用、车体外应用、墙体外观应用、楼体外观应用等，最少</w:t>
            </w:r>
            <w:r>
              <w:rPr>
                <w:rStyle w:val="16"/>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10</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735" w:hRule="atLeast"/>
          <w:jc w:val="center"/>
        </w:trPr>
        <w:tc>
          <w:tcPr>
            <w:tcW w:w="9220" w:type="dxa"/>
            <w:gridSpan w:val="5"/>
            <w:shd w:val="clear" w:color="auto" w:fill="auto"/>
            <w:vAlign w:val="top"/>
          </w:tcPr>
          <w:p>
            <w:pPr>
              <w:keepNext w:val="0"/>
              <w:keepLines w:val="0"/>
              <w:widowControl/>
              <w:suppressLineNumbers w:val="0"/>
              <w:jc w:val="both"/>
              <w:textAlignment w:val="top"/>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本人已阅读、理解并接受《关于启动株洲经济开发区区域形象标识</w:t>
            </w:r>
            <w:r>
              <w:rPr>
                <w:rStyle w:val="15"/>
                <w:rFonts w:hint="eastAsia" w:ascii="Times New Roman" w:hAnsi="Times New Roman" w:eastAsia="仿宋_GB2312" w:cs="仿宋_GB2312"/>
                <w:color w:val="000000" w:themeColor="text1"/>
                <w:sz w:val="28"/>
                <w:szCs w:val="28"/>
                <w:lang w:val="en-US" w:eastAsia="zh-CN" w:bidi="ar"/>
                <w14:textFill>
                  <w14:solidFill>
                    <w14:schemeClr w14:val="tx1"/>
                  </w14:solidFill>
                </w14:textFill>
              </w:rPr>
              <w:t>和宣传用语征集活动的通知》中有关事项，并保证所填内容均真实。</w:t>
            </w:r>
          </w:p>
          <w:p>
            <w:pPr>
              <w:keepNext w:val="0"/>
              <w:keepLines w:val="0"/>
              <w:widowControl/>
              <w:suppressLineNumbers w:val="0"/>
              <w:jc w:val="both"/>
              <w:textAlignment w:val="top"/>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p>
          <w:p>
            <w:pPr>
              <w:keepNext w:val="0"/>
              <w:keepLines w:val="0"/>
              <w:widowControl/>
              <w:suppressLineNumbers w:val="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本人（机构）签字盖章处：              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6" w:hRule="atLeast"/>
          <w:jc w:val="center"/>
        </w:trPr>
        <w:tc>
          <w:tcPr>
            <w:tcW w:w="9220" w:type="dxa"/>
            <w:gridSpan w:val="5"/>
            <w:shd w:val="clear" w:color="auto" w:fill="auto"/>
            <w:vAlign w:val="top"/>
          </w:tcPr>
          <w:p>
            <w:pPr>
              <w:keepNext w:val="0"/>
              <w:keepLines w:val="0"/>
              <w:widowControl/>
              <w:suppressLineNumbers w:val="0"/>
              <w:jc w:val="both"/>
              <w:textAlignment w:val="top"/>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注意事项：</w:t>
            </w:r>
          </w:p>
          <w:p>
            <w:pPr>
              <w:keepNext w:val="0"/>
              <w:keepLines w:val="0"/>
              <w:widowControl/>
              <w:suppressLineNumbers w:val="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1.如应征者为机构，须由授权代表签署并加盖公章。</w:t>
            </w:r>
          </w:p>
          <w:p>
            <w:pPr>
              <w:keepNext w:val="0"/>
              <w:keepLines w:val="0"/>
              <w:widowControl/>
              <w:suppressLineNumbers w:val="0"/>
              <w:jc w:val="both"/>
              <w:textAlignment w:val="top"/>
              <w:rPr>
                <w:rFonts w:hint="eastAsia" w:ascii="Times New Roman" w:hAnsi="Times New Roman" w:eastAsia="仿宋_GB2312" w:cs="仿宋_GB2312"/>
                <w:i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color w:val="000000" w:themeColor="text1"/>
                <w:kern w:val="0"/>
                <w:sz w:val="28"/>
                <w:szCs w:val="28"/>
                <w:u w:val="none"/>
                <w:lang w:val="en-US" w:eastAsia="zh-CN" w:bidi="ar"/>
                <w14:textFill>
                  <w14:solidFill>
                    <w14:schemeClr w14:val="tx1"/>
                  </w14:solidFill>
                </w14:textFill>
              </w:rPr>
              <w:t>2.海选前十名作品作者或团队需参加现场决赛评审会，并对作品进行讲解演示，否则视为弃权，将实行顺位替补。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株洲经开区形象标识和宣传用语</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应征作者承诺书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承诺人已充分知晓并自愿接受《株洲经济开发区形象标识和宣传用语征集活动》相关流程和细则，谨向组委会及主办方承诺如下：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承诺人保证参加此次征集活动作品为创作人本人创作，拥有完整的著作权。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承诺人保证其应征的作品为原创作品。除参加本征集活动外，未曾以任何形式发表过，也未曾以任何方式为公众所知。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确认，自被评为决赛入围作品起，该作品的一切知识产权归主办方所有。主办方有权对作品进行任何形式的使用、开发、修改、授权许可或保护等活动。承诺人除根据征集方案中规定的条目获得相应的奖励外，放弃任何权利的主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承诺人确认，应征作品一旦成为“株洲经济开发区指定LOGO”，需配合在株洲经济开发区完善后续所需的VI体系。承诺人除根据征集方案中规定的条目获得相应的奖励外，放弃任何权利的主张。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承诺人保证其应征的作品不得侵犯他人的合法权益。如有因承诺人的作品侵犯他人合法权益的情况发生，由承诺人承担相应法律责任，主办方对此不承担任何责任。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承诺人保证其承诺真实可靠，并善意履行本承诺。如有违反而导致主办方受损害的，承诺人将承担相应法律责任。同时主办方保留取消承诺人应征资格，并保留追诉和处置权。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本承诺书适用于中华人民共和国法律。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本承诺书自承诺人签字（和/或盖章）之日起生效。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承诺人姓名或机构名称：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证件类型/号码：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承诺人签字/盖章：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597" w:firstLineChars="11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签署日期：     年   月   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黑体" w:cs="黑体"/>
          <w:color w:val="000000" w:themeColor="text1"/>
          <w:sz w:val="32"/>
          <w:szCs w:val="32"/>
          <w:lang w:val="en-US" w:eastAsia="zh-CN"/>
          <w14:textFill>
            <w14:solidFill>
              <w14:schemeClr w14:val="tx1"/>
            </w14:solidFill>
          </w14:textFill>
        </w:rPr>
      </w:pPr>
      <w:r>
        <w:rPr>
          <w:rFonts w:hint="default" w:ascii="Times New Roman" w:hAnsi="Times New Roman" w:eastAsia="黑体" w:cs="黑体"/>
          <w:color w:val="000000" w:themeColor="text1"/>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株洲经济开发区、株洲云龙示范区区情概况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54" w:firstLineChars="200"/>
        <w:jc w:val="both"/>
        <w:textAlignment w:val="auto"/>
        <w:outlineLvl w:val="9"/>
        <w:rPr>
          <w:rStyle w:val="6"/>
          <w:rFonts w:hint="eastAsia" w:ascii="Times New Roman" w:hAnsi="Times New Roman" w:eastAsia="仿宋_GB2312" w:cs="仿宋_GB2312"/>
          <w:b w:val="0"/>
          <w:bCs/>
          <w:i w:val="0"/>
          <w:caps w:val="0"/>
          <w:color w:val="000000" w:themeColor="text1"/>
          <w:spacing w:val="0"/>
          <w:sz w:val="32"/>
          <w:szCs w:val="32"/>
          <w:vertAlign w:val="baseli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株洲经开区、云龙示范区位于株洲市北部，地处长株潭腹</w:t>
      </w:r>
      <w:r>
        <w:rPr>
          <w:rStyle w:val="6"/>
          <w:rFonts w:hint="eastAsia" w:ascii="Times New Roman" w:hAnsi="Times New Roman" w:eastAsia="仿宋_GB2312" w:cs="仿宋_GB2312"/>
          <w:b w:val="0"/>
          <w:bCs/>
          <w:i w:val="0"/>
          <w:caps w:val="0"/>
          <w:color w:val="000000" w:themeColor="text1"/>
          <w:spacing w:val="0"/>
          <w:sz w:val="32"/>
          <w:szCs w:val="32"/>
          <w:vertAlign w:val="baseline"/>
          <w:lang w:val="en-US" w:eastAsia="zh-CN"/>
          <w14:textFill>
            <w14:solidFill>
              <w14:schemeClr w14:val="tx1"/>
            </w14:solidFill>
          </w14:textFill>
        </w:rPr>
        <w:t>地核心，融城中心。沪昆、长株两条高速在此交汇，连接长沙和株洲的城际干道云龙大道纵贯全境，长株潭城际铁路在此设站，中央商务区距长沙、湘潭、株洲市中心城区和黄花机场均为25分钟左右车程。区域总面积97.9平方公里，辖一镇（云田）两街道（学林、龙头铺），共23个社区，总人口12万人。云龙示范区党工委、管委会于2009年挂牌成立，株洲经开区党工委、管委会于2017年10月12日正式挂牌运行。株洲经开区与云龙示范区实行“两块牌子、一套人马”合署办公，党工委、管委会分别作为株洲市委、市政府的派出机构，行使市级行政经济管理权限。</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54" w:firstLineChars="200"/>
        <w:jc w:val="both"/>
        <w:textAlignment w:val="auto"/>
        <w:outlineLvl w:val="9"/>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两型生态城区。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株洲云龙示范区是国务院批复的长株潭城市群“两型”社会建设综合配套改革试验区五大示范区之一。区域内自然资源得天独厚。湘江支流龙母河蜿蜒流经全境，拥有云湖、龙湖、磐龙湖、潜龙湖、云峰湖等7000多亩湖面。云田镇是“全国花卉生产示范基地”和“中国花木之乡”。开发建设中突出生态、绿色理念，致力打造“城中有乡、乡中有城”山水林城和谐共存的“田园都市”。是全省首批强制推行绿色建筑试点区域，新建建筑全部达到绿建星级以上。广泛采用集中供能、智能电网、雨水收集、污水处理等节能环保措施，为国家五个绿色生态示范城区之一，是宜居、宜业的福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4" w:firstLineChars="200"/>
        <w:jc w:val="both"/>
        <w:textAlignment w:val="auto"/>
        <w:outlineLvl w:val="9"/>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黑体" w:cs="黑体"/>
          <w:color w:val="000000" w:themeColor="text1"/>
          <w:sz w:val="32"/>
          <w:szCs w:val="32"/>
          <w:lang w:val="en-US" w:eastAsia="zh-CN"/>
          <w14:textFill>
            <w14:solidFill>
              <w14:schemeClr w14:val="tx1"/>
            </w14:solidFill>
          </w14:textFill>
        </w:rPr>
        <w:t>文化旅游景区。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云峰湖旅游度假区为全省首批三家省级旅游度假区之一。湖南华强文化科技产业基地方特欢乐世界、方特梦幻王国两大主题公园全面建成开园，已累计接待游客1000万人次，并成功创建为国家4A级旅游景区；创意、动漫、数字电影、游戏软件4个文化科技产业基地、旅游商业小镇正在加快建设。长株潭地区规模最大的大型亲水主题乐园——云龙水上乐园及其儿童体验馆诺亚方舟、悦云水疗馆自开业以来，累计接待游客100万人次。第三代室内滑雪项目冰雪世界、云龙海洋公园计划今年建成。云龙假日欢乐广场挂牌为“株洲旅游集散中心”，将为广大游客提供“吃、住、游、玩、娱、购”的一条龙服务。云峰湖体育公园、奥特莱斯等一批重大项目正在加快推进。到2020年，将成功创建为国家级旅游度假区，年游客量将达500万人次以上，成为中部地区知名的文化旅游目的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4" w:firstLineChars="200"/>
        <w:jc w:val="both"/>
        <w:textAlignment w:val="auto"/>
        <w:outlineLvl w:val="9"/>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黑体" w:cs="黑体"/>
          <w:color w:val="000000" w:themeColor="text1"/>
          <w:sz w:val="32"/>
          <w:szCs w:val="32"/>
          <w:lang w:val="en-US" w:eastAsia="zh-CN"/>
          <w14:textFill>
            <w14:solidFill>
              <w14:schemeClr w14:val="tx1"/>
            </w14:solidFill>
          </w14:textFill>
        </w:rPr>
        <w:t>职教双创园区。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总面积达13.9平方公里的职教科技园为湖南省“两型社会”建设典范工程，省“双创”示范基地。签约入园的10所院校，已有铁科职院、化工职院等5所院校建成开学，在校学生达5万人。中医药高专、湖南铁道职院等5所职校正在加快推进。园内湖南微软创新中心（MIC）、微软IT学院、创客中心、微软创新展示中心、中科院云计算职教中心建成开放，创客中心入选第三批国家级众创空间名单。株洲首家众创空间“零创空间”，已入驻企业52家，成功培育无人机、3D打印等创新型产业，“斯凯通航”获得全省唯一无人机训练空域。中国焊接协会机器人焊接培训基地、中国切割焊接培训基地、全国总工会技能比武基地、市人才市场均已落户园区。已成功承办2011年、2013年度湖南省职业技能大赛，2014年民盟职业教育论坛及2015年、2016年湖南省职工职业技能大赛和2015年全国第五届职工职业技能大赛焊工决赛。到2020年，园区人口规模为25万人，在校学生10万人，年均培训人员15万人，成为名副其实的全国职业技术创新创业基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4" w:firstLineChars="200"/>
        <w:jc w:val="both"/>
        <w:textAlignment w:val="auto"/>
        <w:outlineLvl w:val="9"/>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黑体" w:cs="黑体"/>
          <w:color w:val="000000" w:themeColor="text1"/>
          <w:sz w:val="32"/>
          <w:szCs w:val="32"/>
          <w:lang w:val="en-US" w:eastAsia="zh-CN"/>
          <w14:textFill>
            <w14:solidFill>
              <w14:schemeClr w14:val="tx1"/>
            </w14:solidFill>
          </w14:textFill>
        </w:rPr>
        <w:t>信息产业新区。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以创建国家级经开区为契机，大力发展轨道交通、IGBT应用、电子信息等战略新型产业，着力建成为世界轨道交通研发基地，打造“两千亿”的轨道交通产业集群。总部经济园一期50万㎡全面建成，已有恒祥高科等20余家企业入驻。湖南最大的大数据中心——中国移动湖南数据中心已全面启动建设，将为电子信息产业及互联网等各行业提供专业服务配套，带动全省移动互联网、物联网、云计算、智能终端等新一代信息技术产业的集聚发展，构建“互联网+”“大数据+”等新型业态，打造湖南省乃至全国一流的信息产业核心区、集聚区。总投资150亿元的龙母河综合开发项目已启动建设，将充分发挥龙母河的生态和环境优势，依托总部经济园等项目品牌，建成株洲国际会展中心、龙母河生态景观带、总部经济带，成为湖南环境最优、规模最大、配套最全的总部基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54" w:firstLineChars="200"/>
        <w:jc w:val="both"/>
        <w:textAlignment w:val="auto"/>
        <w:outlineLvl w:val="9"/>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54" w:firstLineChars="200"/>
        <w:jc w:val="both"/>
        <w:textAlignment w:val="auto"/>
        <w:outlineLvl w:val="9"/>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ascii="Times New Roman" w:hAnsi="Times New Roman"/>
          <w:color w:val="000000" w:themeColor="text1"/>
          <w:sz w:val="32"/>
          <w14:textFill>
            <w14:solidFill>
              <w14:schemeClr w14:val="tx1"/>
            </w14:solidFill>
          </w14:textFill>
        </w:rPr>
        <mc:AlternateContent>
          <mc:Choice Requires="wpg">
            <w:drawing>
              <wp:anchor distT="0" distB="0" distL="114300" distR="114300" simplePos="0" relativeHeight="251658240" behindDoc="0" locked="0" layoutInCell="1" allowOverlap="1">
                <wp:simplePos x="0" y="0"/>
                <wp:positionH relativeFrom="column">
                  <wp:posOffset>29845</wp:posOffset>
                </wp:positionH>
                <wp:positionV relativeFrom="paragraph">
                  <wp:posOffset>26035</wp:posOffset>
                </wp:positionV>
                <wp:extent cx="5615940" cy="378460"/>
                <wp:effectExtent l="0" t="0" r="0" b="0"/>
                <wp:wrapNone/>
                <wp:docPr id="3" name="组合 3"/>
                <wp:cNvGraphicFramePr/>
                <a:graphic xmlns:a="http://schemas.openxmlformats.org/drawingml/2006/main">
                  <a:graphicData uri="http://schemas.microsoft.com/office/word/2010/wordprocessingGroup">
                    <wpg:wgp>
                      <wpg:cNvGrpSpPr/>
                      <wpg:grpSpPr>
                        <a:xfrm>
                          <a:off x="0" y="0"/>
                          <a:ext cx="5615940" cy="378460"/>
                          <a:chOff x="14606" y="65785"/>
                          <a:chExt cx="8844" cy="596"/>
                        </a:xfrm>
                      </wpg:grpSpPr>
                      <wps:wsp>
                        <wps:cNvPr id="1" name="直接连接符 1"/>
                        <wps:cNvCnPr/>
                        <wps:spPr>
                          <a:xfrm>
                            <a:off x="14606" y="66381"/>
                            <a:ext cx="8844" cy="1"/>
                          </a:xfrm>
                          <a:prstGeom prst="line">
                            <a:avLst/>
                          </a:prstGeom>
                          <a:ln w="9525" cap="flat" cmpd="sng">
                            <a:solidFill>
                              <a:srgbClr val="000000"/>
                            </a:solidFill>
                            <a:prstDash val="solid"/>
                            <a:round/>
                            <a:headEnd type="none" w="med" len="med"/>
                            <a:tailEnd type="none" w="med" len="med"/>
                          </a:ln>
                        </wps:spPr>
                        <wps:bodyPr upright="1"/>
                      </wps:wsp>
                      <wps:wsp>
                        <wps:cNvPr id="2" name="直接连接符 2"/>
                        <wps:cNvCnPr/>
                        <wps:spPr>
                          <a:xfrm>
                            <a:off x="14606" y="65785"/>
                            <a:ext cx="8844" cy="1"/>
                          </a:xfrm>
                          <a:prstGeom prst="line">
                            <a:avLst/>
                          </a:prstGeom>
                          <a:ln w="9525" cap="flat" cmpd="sng">
                            <a:solidFill>
                              <a:srgbClr val="00000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2.35pt;margin-top:2.05pt;height:29.8pt;width:442.2pt;z-index:251658240;mso-width-relative:page;mso-height-relative:page;" coordorigin="14606,65785" coordsize="8844,596" o:gfxdata="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uodkrXAAAABgEAAA8AAAAAAAAAAQAgAAAAIgAAAGRycy9kb3du&#10;cmV2LnhtbFBLAQIUABQAAAAIAIdO4kDUNu3jcgIAAOsGAAAOAAAAAAAAAAEAIAAAACYBAABkcnMv&#10;ZTJvRG9jLnhtbFBLBQYAAAAABgAGAFkBAAAKBgAAAAA=&#10;">
                <o:lock v:ext="edit" aspectratio="f"/>
                <v:line id="_x0000_s1026" o:spid="_x0000_s1026" o:spt="20" style="position:absolute;left:14606;top:66381;height:1;width:884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4606;top:65785;height:1;width:8844;"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Times New Roman" w:hAnsi="Times New Roman" w:eastAsia="仿宋_GB2312"/>
          <w:color w:val="000000" w:themeColor="text1"/>
          <w:spacing w:val="-9"/>
          <w:sz w:val="28"/>
          <w14:textFill>
            <w14:solidFill>
              <w14:schemeClr w14:val="tx1"/>
            </w14:solidFill>
          </w14:textFill>
        </w:rPr>
        <w:t xml:space="preserve">  </w:t>
      </w:r>
      <w:r>
        <w:rPr>
          <w:rFonts w:hint="eastAsia" w:ascii="Times New Roman" w:hAnsi="Times New Roman" w:eastAsia="仿宋_GB2312"/>
          <w:color w:val="000000" w:themeColor="text1"/>
          <w:spacing w:val="-9"/>
          <w:sz w:val="28"/>
          <w14:textFill>
            <w14:solidFill>
              <w14:schemeClr w14:val="tx1"/>
            </w14:solidFill>
          </w14:textFill>
        </w:rPr>
        <w:t>株洲云龙示范区管理委员会综合管理部</w:t>
      </w:r>
      <w:r>
        <w:rPr>
          <w:rFonts w:hint="eastAsia" w:ascii="Times New Roman" w:hAnsi="Times New Roman" w:eastAsia="仿宋_GB2312"/>
          <w:color w:val="000000" w:themeColor="text1"/>
          <w:spacing w:val="-9"/>
          <w:sz w:val="28"/>
          <w:lang w:val="en-US" w:eastAsia="zh-CN"/>
          <w14:textFill>
            <w14:solidFill>
              <w14:schemeClr w14:val="tx1"/>
            </w14:solidFill>
          </w14:textFill>
        </w:rPr>
        <w:t xml:space="preserve">           </w:t>
      </w:r>
      <w:r>
        <w:rPr>
          <w:rFonts w:ascii="Times New Roman" w:hAnsi="Times New Roman" w:eastAsia="仿宋_GB2312"/>
          <w:color w:val="000000" w:themeColor="text1"/>
          <w:spacing w:val="-9"/>
          <w:sz w:val="28"/>
          <w14:textFill>
            <w14:solidFill>
              <w14:schemeClr w14:val="tx1"/>
            </w14:solidFill>
          </w14:textFill>
        </w:rPr>
        <w:t>2019</w:t>
      </w:r>
      <w:r>
        <w:rPr>
          <w:rFonts w:hint="eastAsia" w:ascii="Times New Roman" w:hAnsi="Times New Roman" w:eastAsia="仿宋_GB2312"/>
          <w:color w:val="000000" w:themeColor="text1"/>
          <w:spacing w:val="-9"/>
          <w:sz w:val="28"/>
          <w14:textFill>
            <w14:solidFill>
              <w14:schemeClr w14:val="tx1"/>
            </w14:solidFill>
          </w14:textFill>
        </w:rPr>
        <w:t>年</w:t>
      </w:r>
      <w:r>
        <w:rPr>
          <w:rFonts w:hint="eastAsia" w:ascii="Times New Roman" w:hAnsi="Times New Roman"/>
          <w:color w:val="000000" w:themeColor="text1"/>
          <w:spacing w:val="-9"/>
          <w:sz w:val="28"/>
          <w:lang w:val="en-US" w:eastAsia="zh-CN"/>
          <w14:textFill>
            <w14:solidFill>
              <w14:schemeClr w14:val="tx1"/>
            </w14:solidFill>
          </w14:textFill>
        </w:rPr>
        <w:t>2</w:t>
      </w:r>
      <w:r>
        <w:rPr>
          <w:rFonts w:hint="eastAsia" w:ascii="Times New Roman" w:hAnsi="Times New Roman" w:eastAsia="仿宋_GB2312"/>
          <w:color w:val="000000" w:themeColor="text1"/>
          <w:spacing w:val="-9"/>
          <w:sz w:val="28"/>
          <w14:textFill>
            <w14:solidFill>
              <w14:schemeClr w14:val="tx1"/>
            </w14:solidFill>
          </w14:textFill>
        </w:rPr>
        <w:t>月</w:t>
      </w:r>
      <w:r>
        <w:rPr>
          <w:rFonts w:hint="eastAsia" w:ascii="Times New Roman" w:hAnsi="Times New Roman"/>
          <w:color w:val="000000" w:themeColor="text1"/>
          <w:spacing w:val="-9"/>
          <w:sz w:val="28"/>
          <w:lang w:val="en-US" w:eastAsia="zh-CN"/>
          <w14:textFill>
            <w14:solidFill>
              <w14:schemeClr w14:val="tx1"/>
            </w14:solidFill>
          </w14:textFill>
        </w:rPr>
        <w:t>22</w:t>
      </w:r>
      <w:r>
        <w:rPr>
          <w:rFonts w:hint="eastAsia" w:ascii="Times New Roman" w:hAnsi="Times New Roman" w:eastAsia="仿宋_GB2312"/>
          <w:color w:val="000000" w:themeColor="text1"/>
          <w:spacing w:val="-9"/>
          <w:sz w:val="28"/>
          <w14:textFill>
            <w14:solidFill>
              <w14:schemeClr w14:val="tx1"/>
            </w14:solidFill>
          </w14:textFill>
        </w:rPr>
        <w:t>日印发</w:t>
      </w:r>
    </w:p>
    <w:sectPr>
      <w:headerReference r:id="rId3" w:type="default"/>
      <w:footerReference r:id="rId4" w:type="default"/>
      <w:pgSz w:w="11906" w:h="16838"/>
      <w:pgMar w:top="2098" w:right="1474" w:bottom="1984" w:left="1587" w:header="851" w:footer="1417" w:gutter="0"/>
      <w:pgNumType w:fmt="numberInDash"/>
      <w:cols w:space="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920" w:firstLineChars="4400"/>
      <w:rPr>
        <w:rFonts w:hint="eastAsia" w:eastAsia="仿宋_GB2312"/>
        <w:lang w:eastAsia="zh-CN"/>
      </w:rPr>
    </w:pPr>
    <w:r>
      <w:rPr>
        <w:rFonts w:hint="eastAsia"/>
        <w:lang w:eastAsia="zh-CN"/>
      </w:rPr>
      <w:t>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64"/>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77FB5"/>
    <w:rsid w:val="02333038"/>
    <w:rsid w:val="040955A7"/>
    <w:rsid w:val="065D37B2"/>
    <w:rsid w:val="0AB34C72"/>
    <w:rsid w:val="17210231"/>
    <w:rsid w:val="21AB4EEA"/>
    <w:rsid w:val="2B777FB5"/>
    <w:rsid w:val="2E244530"/>
    <w:rsid w:val="303A6F5E"/>
    <w:rsid w:val="31532CAF"/>
    <w:rsid w:val="33937800"/>
    <w:rsid w:val="34FD68BB"/>
    <w:rsid w:val="3EB633C3"/>
    <w:rsid w:val="418957DA"/>
    <w:rsid w:val="43411E37"/>
    <w:rsid w:val="499568E0"/>
    <w:rsid w:val="4A932F00"/>
    <w:rsid w:val="5DB6540B"/>
    <w:rsid w:val="5E105ACE"/>
    <w:rsid w:val="627C360F"/>
    <w:rsid w:val="6423762D"/>
    <w:rsid w:val="726D4CAF"/>
    <w:rsid w:val="796E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font21"/>
    <w:basedOn w:val="5"/>
    <w:qFormat/>
    <w:uiPriority w:val="0"/>
    <w:rPr>
      <w:rFonts w:hint="eastAsia" w:ascii="楷体_GB2312" w:eastAsia="楷体_GB2312" w:cs="楷体_GB2312"/>
      <w:color w:val="000000"/>
      <w:sz w:val="28"/>
      <w:szCs w:val="28"/>
      <w:u w:val="none"/>
    </w:rPr>
  </w:style>
  <w:style w:type="character" w:customStyle="1" w:styleId="12">
    <w:name w:val="font11"/>
    <w:basedOn w:val="5"/>
    <w:qFormat/>
    <w:uiPriority w:val="0"/>
    <w:rPr>
      <w:rFonts w:hint="default" w:ascii="Times New Roman" w:hAnsi="Times New Roman" w:cs="Times New Roman"/>
      <w:color w:val="000000"/>
      <w:sz w:val="28"/>
      <w:szCs w:val="28"/>
      <w:u w:val="none"/>
    </w:rPr>
  </w:style>
  <w:style w:type="character" w:customStyle="1" w:styleId="13">
    <w:name w:val="font31"/>
    <w:basedOn w:val="5"/>
    <w:uiPriority w:val="0"/>
    <w:rPr>
      <w:rFonts w:hint="default" w:ascii="Wingdings 2" w:hAnsi="Wingdings 2" w:eastAsia="Wingdings 2" w:cs="Wingdings 2"/>
      <w:color w:val="000000"/>
      <w:sz w:val="28"/>
      <w:szCs w:val="28"/>
      <w:u w:val="none"/>
    </w:rPr>
  </w:style>
  <w:style w:type="character" w:customStyle="1" w:styleId="14">
    <w:name w:val="font51"/>
    <w:basedOn w:val="5"/>
    <w:qFormat/>
    <w:uiPriority w:val="0"/>
    <w:rPr>
      <w:rFonts w:hint="eastAsia" w:ascii="宋体" w:hAnsi="宋体" w:eastAsia="宋体" w:cs="宋体"/>
      <w:color w:val="000000"/>
      <w:sz w:val="28"/>
      <w:szCs w:val="28"/>
      <w:u w:val="none"/>
    </w:rPr>
  </w:style>
  <w:style w:type="character" w:customStyle="1" w:styleId="15">
    <w:name w:val="font61"/>
    <w:basedOn w:val="5"/>
    <w:qFormat/>
    <w:uiPriority w:val="0"/>
    <w:rPr>
      <w:rFonts w:hint="eastAsia" w:ascii="楷体_GB2312" w:eastAsia="楷体_GB2312" w:cs="楷体_GB2312"/>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2019-01-14T08:07:00Z</dcterms:created>
  <dc:creator>张小困困困困</dc:creator>
  <cp:lastModifiedBy>Administrator</cp:lastModifiedBy>
  <cp:lastPrinted>2019-02-25T07:31:00Z</cp:lastPrinted>
  <dcterms:modified xsi:type="dcterms:W3CDTF">2019-02-26T01:22:49Z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