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uto"/>
        <w:ind w:right="0"/>
        <w:jc w:val="left"/>
        <w:textAlignment w:val="baseline"/>
        <w:rPr>
          <w:rFonts w:hint="default" w:ascii="方正仿宋_GBK" w:hAnsi="方正仿宋_GBK" w:eastAsia="方正仿宋_GBK" w:cs="方正仿宋_GBK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before="16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附件一：</w:t>
      </w:r>
    </w:p>
    <w:p>
      <w:pPr>
        <w:spacing w:line="360" w:lineRule="auto"/>
        <w:rPr>
          <w:rFonts w:ascii="仿宋"/>
          <w:sz w:val="21"/>
        </w:rPr>
      </w:pPr>
    </w:p>
    <w:p>
      <w:pPr>
        <w:spacing w:before="143" w:line="360" w:lineRule="auto"/>
        <w:ind w:firstLine="68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5587" w14:cap="flat" w14:cmpd="sng">
            <w14:solidFill>
              <w14:srgbClr w14:val="000000"/>
            </w14:solidFill>
            <w14:prstDash w14:val="solid"/>
            <w14:miter w14:val="0"/>
          </w14:textOutline>
        </w:rPr>
        <w:t>习近平总书记对消防救援队伍的训词</w:t>
      </w:r>
    </w:p>
    <w:p>
      <w:pPr>
        <w:spacing w:line="360" w:lineRule="auto"/>
        <w:rPr>
          <w:rFonts w:ascii="仿宋"/>
          <w:sz w:val="21"/>
        </w:rPr>
      </w:pPr>
      <w:bookmarkStart w:id="0" w:name="_GoBack"/>
      <w:bookmarkEnd w:id="0"/>
    </w:p>
    <w:p>
      <w:pPr>
        <w:spacing w:line="360" w:lineRule="auto"/>
        <w:rPr>
          <w:rFonts w:ascii="仿宋"/>
          <w:sz w:val="21"/>
        </w:rPr>
      </w:pPr>
    </w:p>
    <w:p>
      <w:pPr>
        <w:spacing w:before="104" w:line="360" w:lineRule="auto"/>
        <w:ind w:right="94" w:firstLine="640" w:firstLineChars="200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</w:rPr>
        <w:t>同志们，今天，我们在这里隆重举行向国家综合性消防 救援队伍授旗仪式，我代表党中央，向同志们致以热烈的祝贺！</w:t>
      </w:r>
    </w:p>
    <w:p>
      <w:pPr>
        <w:spacing w:before="104" w:line="360" w:lineRule="auto"/>
        <w:ind w:right="94" w:firstLine="640" w:firstLineChars="200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</w:rPr>
        <w:t>组建国家综合性消防救援队伍，是党中央适应国家治理 体系和治理能力现代化作出的战略决策，是立足我国国情和 灾害事故特点、构建新时代国家应急救援体系的重要举措， 对提高防灾减灾救灾能力、维护社会公共安全、保护人民生 命财产安全具有重大意义。</w:t>
      </w:r>
    </w:p>
    <w:p>
      <w:pPr>
        <w:spacing w:before="104" w:line="360" w:lineRule="auto"/>
        <w:ind w:right="94" w:firstLine="640" w:firstLineChars="200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</w:rPr>
        <w:t>长期以来，消防队伍作为同老百姓贴得最近、联系最紧 的队伍，有警必出、闻警即动，奋战在人民群众最需要的地方，特别是在重大灾害事故面前，你们不畏艰险、冲锋在前，作出了突出贡献。改革转制后，你们作为应急救援的主力军和国家队，承担着防范化解重大安全风险、应对处置各类灾害事故的重要职责，党和人民对你们寄予厚望。</w:t>
      </w:r>
    </w:p>
    <w:p>
      <w:pPr>
        <w:spacing w:before="296" w:line="360" w:lineRule="auto"/>
        <w:ind w:left="35" w:right="93" w:firstLine="631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——始终对党忠诚。</w:t>
      </w:r>
      <w:r>
        <w:rPr>
          <w:rFonts w:ascii="仿宋" w:hAnsi="仿宋" w:eastAsia="仿宋" w:cs="仿宋"/>
          <w:spacing w:val="0"/>
          <w:kern w:val="21"/>
          <w:sz w:val="32"/>
          <w:szCs w:val="32"/>
        </w:rPr>
        <w:t>坚持党的绝对领导，增强“四个意 识”，坚定“四个自信”，全面贯彻新时代中国特色社会主义思想，坚定理想信念，坚决维护党中央权威和集中统一领导，坚决听从党的号令，永远做党和人民的忠诚卫士。</w:t>
      </w:r>
    </w:p>
    <w:p>
      <w:pPr>
        <w:spacing w:line="360" w:lineRule="auto"/>
        <w:jc w:val="both"/>
        <w:rPr>
          <w:spacing w:val="0"/>
          <w:kern w:val="21"/>
        </w:rPr>
        <w:sectPr>
          <w:pgSz w:w="11905" w:h="16840"/>
          <w:pgMar w:top="1431" w:right="1703" w:bottom="0" w:left="1785" w:header="0" w:footer="0" w:gutter="0"/>
          <w:cols w:space="720" w:num="1"/>
        </w:sectPr>
      </w:pPr>
    </w:p>
    <w:p>
      <w:pPr>
        <w:spacing w:before="160" w:line="360" w:lineRule="auto"/>
        <w:ind w:left="34" w:right="8" w:firstLine="632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——做到纪律严明。</w:t>
      </w:r>
      <w:r>
        <w:rPr>
          <w:rFonts w:ascii="仿宋" w:hAnsi="仿宋" w:eastAsia="仿宋" w:cs="仿宋"/>
          <w:spacing w:val="0"/>
          <w:kern w:val="21"/>
          <w:sz w:val="32"/>
          <w:szCs w:val="32"/>
        </w:rPr>
        <w:t>坚持纪律部队建设标准，弘扬光荣传统和优良作风，严格教育、严格训练、严格管理、严格要求，服从命令、听从指挥，集中统一、步调一致，用铁的纪律打造铁的队伍。</w:t>
      </w:r>
    </w:p>
    <w:p>
      <w:pPr>
        <w:spacing w:line="360" w:lineRule="auto"/>
        <w:ind w:left="33" w:right="10" w:firstLine="634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——敢于赴汤蹈火。</w:t>
      </w:r>
      <w:r>
        <w:rPr>
          <w:rFonts w:ascii="仿宋" w:hAnsi="仿宋" w:eastAsia="仿宋" w:cs="仿宋"/>
          <w:spacing w:val="0"/>
          <w:kern w:val="21"/>
          <w:sz w:val="32"/>
          <w:szCs w:val="32"/>
        </w:rPr>
        <w:t>时刻听从党和人民召唤，保持枕戈待旦、快速反应的备战状态，练就科学高效、专业精准的过硬本领，发扬英勇顽强、不怕牺牲的战斗作风，刀山敢上， 火海敢闯，召之即来，战之必胜。</w:t>
      </w:r>
    </w:p>
    <w:p>
      <w:pPr>
        <w:spacing w:line="360" w:lineRule="auto"/>
        <w:ind w:left="36" w:right="10" w:firstLine="630"/>
        <w:jc w:val="both"/>
        <w:rPr>
          <w:rFonts w:ascii="仿宋" w:hAnsi="仿宋" w:eastAsia="仿宋" w:cs="仿宋"/>
          <w:spacing w:val="0"/>
          <w:kern w:val="21"/>
          <w:sz w:val="32"/>
          <w:szCs w:val="32"/>
        </w:rPr>
      </w:pPr>
      <w:r>
        <w:rPr>
          <w:rFonts w:ascii="仿宋" w:hAnsi="仿宋" w:eastAsia="仿宋" w:cs="仿宋"/>
          <w:spacing w:val="0"/>
          <w:kern w:val="2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——永远竭诚为民。</w:t>
      </w:r>
      <w:r>
        <w:rPr>
          <w:rFonts w:ascii="仿宋" w:hAnsi="仿宋" w:eastAsia="仿宋" w:cs="仿宋"/>
          <w:spacing w:val="0"/>
          <w:kern w:val="21"/>
          <w:sz w:val="32"/>
          <w:szCs w:val="32"/>
        </w:rPr>
        <w:t xml:space="preserve">自觉把人民放在心中最高位置，把 人民褒奖作为最高荣誉，在人民群众最需要的时候冲锋在 </w:t>
      </w:r>
      <w:r>
        <w:rPr>
          <w:rFonts w:ascii="仿宋" w:hAnsi="仿宋" w:eastAsia="仿宋" w:cs="仿宋"/>
          <w:spacing w:val="0"/>
          <w:w w:val="97"/>
          <w:kern w:val="21"/>
          <w:sz w:val="32"/>
          <w:szCs w:val="32"/>
        </w:rPr>
        <w:t>前，救民于水火，助民于危难，给人民以力量，在服务人民</w:t>
      </w:r>
      <w:r>
        <w:rPr>
          <w:rFonts w:ascii="仿宋" w:hAnsi="仿宋" w:eastAsia="仿宋" w:cs="仿宋"/>
          <w:spacing w:val="0"/>
          <w:kern w:val="21"/>
          <w:sz w:val="32"/>
          <w:szCs w:val="32"/>
        </w:rPr>
        <w:t>中传递党和政府温暖，为维护人民群众生命财产安全而英勇奋斗。</w:t>
      </w:r>
    </w:p>
    <w:p>
      <w:pPr>
        <w:spacing w:line="360" w:lineRule="auto"/>
        <w:jc w:val="both"/>
        <w:sectPr>
          <w:pgSz w:w="11905" w:h="16840"/>
          <w:pgMar w:top="1431" w:right="1785" w:bottom="0" w:left="1785" w:header="0" w:footer="0" w:gutter="0"/>
          <w:cols w:space="720" w:num="1"/>
        </w:sectPr>
      </w:pPr>
    </w:p>
    <w:p>
      <w:pPr>
        <w:spacing w:before="160" w:line="360" w:lineRule="auto"/>
        <w:ind w:firstLine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附件二：</w:t>
      </w:r>
    </w:p>
    <w:p>
      <w:pPr>
        <w:spacing w:line="360" w:lineRule="auto"/>
        <w:rPr>
          <w:rFonts w:ascii="仿宋"/>
          <w:sz w:val="21"/>
        </w:rPr>
      </w:pPr>
    </w:p>
    <w:p>
      <w:pPr>
        <w:spacing w:line="360" w:lineRule="auto"/>
        <w:rPr>
          <w:rFonts w:ascii="仿宋"/>
          <w:sz w:val="21"/>
        </w:rPr>
      </w:pPr>
    </w:p>
    <w:p>
      <w:pPr>
        <w:spacing w:before="143" w:line="360" w:lineRule="auto"/>
        <w:ind w:firstLine="154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5587" w14:cap="flat" w14:cmpd="sng">
            <w14:solidFill>
              <w14:srgbClr w14:val="000000"/>
            </w14:solidFill>
            <w14:prstDash w14:val="solid"/>
            <w14:miter w14:val="0"/>
          </w14:textOutline>
        </w:rPr>
        <w:t>消防救援队伍各类标志式样</w:t>
      </w:r>
    </w:p>
    <w:p>
      <w:pPr>
        <w:spacing w:line="360" w:lineRule="auto"/>
        <w:rPr>
          <w:rFonts w:ascii="仿宋"/>
          <w:sz w:val="21"/>
        </w:rPr>
      </w:pPr>
    </w:p>
    <w:p>
      <w:pPr>
        <w:spacing w:line="360" w:lineRule="auto"/>
        <w:rPr>
          <w:rFonts w:ascii="仿宋"/>
          <w:sz w:val="21"/>
        </w:rPr>
      </w:pPr>
    </w:p>
    <w:p>
      <w:pPr>
        <w:spacing w:line="360" w:lineRule="auto"/>
        <w:ind w:firstLine="908"/>
        <w:textAlignment w:val="center"/>
      </w:pPr>
      <w:r>
        <w:drawing>
          <wp:inline distT="0" distB="0" distL="0" distR="0">
            <wp:extent cx="4138930" cy="3237865"/>
            <wp:effectExtent l="0" t="0" r="1270" b="63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9183" cy="323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2" w:line="360" w:lineRule="auto"/>
        <w:ind w:firstLine="13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:shd w:val="clear" w:fill="FFFFFE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中华人民共和国综合性消防救援队伍队旗</w:t>
      </w:r>
    </w:p>
    <w:p>
      <w:pPr>
        <w:spacing w:line="360" w:lineRule="auto"/>
        <w:rPr>
          <w:rFonts w:ascii="仿宋"/>
          <w:sz w:val="21"/>
        </w:rPr>
      </w:pPr>
    </w:p>
    <w:p>
      <w:pPr>
        <w:spacing w:line="360" w:lineRule="auto"/>
        <w:rPr>
          <w:rFonts w:ascii="仿宋"/>
          <w:sz w:val="21"/>
        </w:rPr>
      </w:pPr>
    </w:p>
    <w:p>
      <w:pPr>
        <w:spacing w:before="1" w:line="360" w:lineRule="auto"/>
        <w:ind w:firstLine="2011"/>
        <w:textAlignment w:val="center"/>
      </w:pPr>
      <w:r>
        <w:drawing>
          <wp:inline distT="0" distB="0" distL="0" distR="0">
            <wp:extent cx="2736850" cy="2751455"/>
            <wp:effectExtent l="0" t="0" r="6350" b="444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7103" cy="275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9" w:line="360" w:lineRule="auto"/>
        <w:ind w:firstLine="13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:shd w:val="clear" w:fill="FFFFFE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中华人民共和国综合性消防救援队伍队徽</w:t>
      </w:r>
    </w:p>
    <w:p>
      <w:pPr>
        <w:spacing w:line="360" w:lineRule="auto"/>
        <w:sectPr>
          <w:pgSz w:w="11905" w:h="16840"/>
          <w:pgMar w:top="1431" w:right="1785" w:bottom="0" w:left="1785" w:header="0" w:footer="0" w:gutter="0"/>
          <w:cols w:space="720" w:num="1"/>
        </w:sectPr>
      </w:pPr>
    </w:p>
    <w:p>
      <w:pPr>
        <w:spacing w:before="134" w:line="360" w:lineRule="auto"/>
        <w:ind w:firstLine="1247"/>
        <w:textAlignment w:val="center"/>
      </w:pPr>
      <w:r>
        <w:drawing>
          <wp:inline distT="0" distB="0" distL="0" distR="0">
            <wp:extent cx="3712845" cy="3604895"/>
            <wp:effectExtent l="0" t="0" r="8255" b="190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2870" cy="360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6" w:line="360" w:lineRule="auto"/>
        <w:ind w:firstLine="13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:shd w:val="clear" w:fill="FFFFFE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中华人民共和国综合性消防救援队伍帽徽</w:t>
      </w:r>
    </w:p>
    <w:p>
      <w:pPr>
        <w:spacing w:line="360" w:lineRule="auto"/>
        <w:rPr>
          <w:rFonts w:ascii="仿宋"/>
          <w:sz w:val="21"/>
        </w:rPr>
      </w:pPr>
    </w:p>
    <w:p>
      <w:pPr>
        <w:spacing w:line="360" w:lineRule="auto"/>
        <w:rPr>
          <w:rFonts w:ascii="仿宋"/>
          <w:sz w:val="21"/>
        </w:rPr>
      </w:pPr>
    </w:p>
    <w:p>
      <w:pPr>
        <w:spacing w:line="360" w:lineRule="auto"/>
        <w:rPr>
          <w:rFonts w:ascii="仿宋"/>
          <w:sz w:val="21"/>
        </w:rPr>
      </w:pPr>
    </w:p>
    <w:p>
      <w:pPr>
        <w:spacing w:before="1" w:line="360" w:lineRule="auto"/>
        <w:ind w:firstLine="14"/>
        <w:textAlignment w:val="center"/>
      </w:pPr>
      <w:r>
        <w:drawing>
          <wp:inline distT="0" distB="0" distL="0" distR="0">
            <wp:extent cx="4827270" cy="2640965"/>
            <wp:effectExtent l="0" t="0" r="11430" b="63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264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5" w:line="360" w:lineRule="auto"/>
        <w:ind w:firstLine="1339"/>
        <w:rPr>
          <w:rFonts w:hint="eastAsia" w:ascii="仿宋" w:hAnsi="仿宋" w:eastAsia="仿宋" w:cs="仿宋"/>
          <w:snapToGrid w:val="0"/>
          <w:color w:val="000000"/>
          <w:spacing w:val="-31"/>
          <w:w w:val="97"/>
          <w:kern w:val="0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:shd w:val="clear" w:fill="FFFFFE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中华人民共和国综合性消防救援队伍胸徽</w:t>
      </w:r>
    </w:p>
    <w:p>
      <w:pPr>
        <w:spacing w:before="160" w:line="360" w:lineRule="auto"/>
        <w:ind w:firstLine="49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spacing w:val="-20"/>
          <w:sz w:val="32"/>
          <w:szCs w:val="32"/>
        </w:rPr>
        <w:t>：</w:t>
      </w:r>
    </w:p>
    <w:p>
      <w:pPr>
        <w:spacing w:before="160" w:line="360" w:lineRule="auto"/>
        <w:ind w:firstLine="49"/>
        <w:rPr>
          <w:rFonts w:ascii="仿宋" w:hAnsi="仿宋" w:eastAsia="仿宋" w:cs="仿宋"/>
          <w:spacing w:val="-2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70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眉山简介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眉山，古称“眉州”，位于四川盆地成都平原西南部、岷江中游，北接成都市，南连乐山市，东邻内江市、资阳市、自贡市，西接雅安市。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眉山市是宋代大文豪苏洵、苏轼、苏辙三父子（史称“三苏”）的故乡，享有“中国诗书城”的美誉。唐至清朝期间，眉山共有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1 319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人考取进士，成为中国历史上著名的“进士之乡”。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眉山市是四川省最年轻的地级市，是国家级天府新区、成都经济区和大峨眉国际旅游区的重要组成部分。眉山市辖区面积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7140 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平方公里，全市常住人口2955219人，共有家庭户1061239户。辖二个区（东坡区、彭山区）、四个县（仁寿县、洪雅县、丹棱县、青神县），共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个街道、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 62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个镇、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个乡、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 1050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个行政村、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313 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个社区，有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 1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个国家级新区（天府新区）、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7 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个省级开发园区（眉山高新技术产业园区、甘孜—眉山工业园区，四川彭山经济开发区、四川仁寿经济开发区、四川洪雅经济开发区、四川丹棱经济开发区、四川青神经济开发区）。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眉山市是距离成都市最近的地级市，距成都市主城区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70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公里，境内有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条高速公路、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条铁路和岷江航道，规划中的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条地铁连接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41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条出川通道，紧临双流、天府两大国际机场（距成都双流国际机场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47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公里，距天府国际机场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40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公里），成眉间动车公交化运营，列车数量达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80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列次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日。眉山全域都在天府新区辐射范围内，含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94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平方公里核心区、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448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平方公里协调管控区。招商引资连续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年居四川前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，落户世界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500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强企业数量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33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家、居四川第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眉山市是国家园林城市、国家森林城市、全国文明城市、国家卫生城市。拥有“三苏故居”三苏祠、“最美桌山”瓦屋山、“长寿福地”彭祖山、“川西第一海”黑龙滩、“天然氧吧”七里坪、“东坡初恋地”中岩寺、“禅度佛国”老峨山、国际竹艺城、中国泡菜城、烟雨柳江等著名景区景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120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余处。有国家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A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级景区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32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个，其中国家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AAAA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级景区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AAA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级景区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AA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级景区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A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级景区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个；省级旅游度假区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个、省级生态旅游示范区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个。被评为亚太地区（二三线城市）首选旅游目的地、中国最美生态文化旅游城市。</w:t>
      </w:r>
    </w:p>
    <w:p>
      <w:pPr>
        <w:spacing w:before="255" w:line="360" w:lineRule="auto"/>
        <w:ind w:firstLine="1339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uto"/>
        <w:ind w:left="0" w:right="0" w:firstLine="280"/>
        <w:jc w:val="left"/>
        <w:textAlignment w:val="baseline"/>
        <w:rPr>
          <w:rFonts w:hint="default" w:ascii="方正仿宋_GBK" w:hAnsi="方正仿宋_GBK" w:eastAsia="方正仿宋_GBK" w:cs="方正仿宋_GBK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52DF5"/>
    <w:rsid w:val="1C952DF5"/>
    <w:rsid w:val="4C8B310A"/>
    <w:rsid w:val="7DC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2021-10-14T01:28:00Z</dcterms:created>
  <dc:creator>喜之蒙</dc:creator>
  <cp:lastModifiedBy>Admin</cp:lastModifiedBy>
  <dcterms:modified xsi:type="dcterms:W3CDTF">2021-10-20T08:09:49Z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5F4C6BD5F00B48B2AA7271CBDF5212B2</vt:lpwstr>
  </property>
</Properties>
</file>